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bookmarkStart w:id="0" w:name="_GoBack"/>
      <w:bookmarkEnd w:id="0"/>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val="de-DE" w:eastAsia="zh-CN"/>
              </w:rPr>
              <w:t>Denmark, Ireland, Luxembourg, Netherlands, Austria, Sweden, Liechtenstein, Norway</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2BB820AA" w:rsidR="00850120" w:rsidRPr="005F6129" w:rsidRDefault="00850120" w:rsidP="00FD543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5F6129">
              <w:rPr>
                <w:rFonts w:ascii="Times New Roman" w:eastAsia="SimSun" w:hAnsi="Times New Roman" w:cs="Times New Roman"/>
                <w:b/>
                <w:bCs/>
                <w:kern w:val="3"/>
                <w:sz w:val="18"/>
                <w:szCs w:val="18"/>
                <w:lang w:eastAsia="zh-CN"/>
              </w:rPr>
              <w:t>Bulgaria, Estonia, Croatia, Latvia,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Lithuania,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Hungary,</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 xml:space="preserve">Poland, Romania, </w:t>
            </w:r>
            <w:r w:rsidR="00617348" w:rsidRPr="005F6129">
              <w:rPr>
                <w:rFonts w:ascii="Times New Roman" w:eastAsia="SimSun" w:hAnsi="Times New Roman" w:cs="Times New Roman"/>
                <w:b/>
                <w:bCs/>
                <w:kern w:val="3"/>
                <w:sz w:val="18"/>
                <w:szCs w:val="18"/>
                <w:lang w:eastAsia="zh-CN"/>
              </w:rPr>
              <w:t xml:space="preserve">Serbia, </w:t>
            </w:r>
            <w:r w:rsidRPr="005F6129">
              <w:rPr>
                <w:rFonts w:ascii="Times New Roman" w:eastAsia="SimSun" w:hAnsi="Times New Roman" w:cs="Times New Roman"/>
                <w:b/>
                <w:bCs/>
                <w:kern w:val="3"/>
                <w:sz w:val="18"/>
                <w:szCs w:val="18"/>
                <w:lang w:eastAsia="zh-CN"/>
              </w:rPr>
              <w:t>Slovakia</w:t>
            </w:r>
            <w:r w:rsidR="00FE1255" w:rsidRPr="005F6129">
              <w:rPr>
                <w:rFonts w:ascii="Times New Roman" w:eastAsia="SimSun" w:hAnsi="Times New Roman" w:cs="Times New Roman"/>
                <w:b/>
                <w:bCs/>
                <w:kern w:val="3"/>
                <w:sz w:val="18"/>
                <w:szCs w:val="18"/>
                <w:lang w:eastAsia="zh-CN"/>
              </w:rPr>
              <w:t>,</w:t>
            </w:r>
            <w:r w:rsidRPr="005F6129" w:rsidDel="00B928D7">
              <w:rPr>
                <w:rFonts w:ascii="Times New Roman" w:eastAsia="SimSun" w:hAnsi="Times New Roman" w:cs="Times New Roman"/>
                <w:b/>
                <w:bCs/>
                <w:kern w:val="3"/>
                <w:sz w:val="18"/>
                <w:szCs w:val="18"/>
                <w:lang w:eastAsia="zh-CN"/>
              </w:rPr>
              <w:t xml:space="preserve"> </w:t>
            </w:r>
            <w:r w:rsidR="005F6129" w:rsidRPr="005F6129">
              <w:rPr>
                <w:rFonts w:ascii="Times New Roman" w:eastAsia="SimSun" w:hAnsi="Times New Roman" w:cs="Times New Roman"/>
                <w:b/>
                <w:bCs/>
                <w:kern w:val="3"/>
                <w:sz w:val="18"/>
                <w:szCs w:val="18"/>
                <w:lang w:eastAsia="zh-CN"/>
              </w:rPr>
              <w:t>the Republic o</w:t>
            </w:r>
            <w:r w:rsidR="005F6129">
              <w:rPr>
                <w:rFonts w:ascii="Times New Roman" w:eastAsia="SimSun" w:hAnsi="Times New Roman" w:cs="Times New Roman"/>
                <w:b/>
                <w:bCs/>
                <w:kern w:val="3"/>
                <w:sz w:val="18"/>
                <w:szCs w:val="18"/>
                <w:lang w:eastAsia="zh-CN"/>
              </w:rPr>
              <w:t xml:space="preserve">f </w:t>
            </w:r>
            <w:r w:rsidR="00FD543A" w:rsidRPr="005F6129">
              <w:rPr>
                <w:rFonts w:ascii="Times New Roman" w:eastAsia="SimSun" w:hAnsi="Times New Roman" w:cs="Times New Roman"/>
                <w:b/>
                <w:bCs/>
                <w:kern w:val="3"/>
                <w:sz w:val="18"/>
                <w:szCs w:val="18"/>
                <w:lang w:eastAsia="zh-CN"/>
              </w:rPr>
              <w:t>North</w:t>
            </w:r>
            <w:r w:rsidRPr="005F6129">
              <w:rPr>
                <w:rFonts w:ascii="Times New Roman" w:eastAsia="SimSun" w:hAnsi="Times New Roman" w:cs="Times New Roman"/>
                <w:b/>
                <w:bCs/>
                <w:kern w:val="3"/>
                <w:sz w:val="18"/>
                <w:szCs w:val="18"/>
                <w:lang w:eastAsia="zh-CN"/>
              </w:rPr>
              <w:t xml:space="preserve">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7F499ABF"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w:t>
            </w:r>
            <w:r w:rsidR="005F6129">
              <w:rPr>
                <w:rFonts w:ascii="Times New Roman" w:eastAsia="SimSun" w:hAnsi="Times New Roman" w:cs="Times New Roman"/>
                <w:b/>
                <w:bCs/>
                <w:kern w:val="3"/>
                <w:sz w:val="18"/>
                <w:szCs w:val="18"/>
                <w:lang w:eastAsia="zh-CN"/>
              </w:rPr>
              <w:t>evis, Sudan, Suriname, Eswatini</w:t>
            </w:r>
            <w:r w:rsidRPr="00FE1255">
              <w:rPr>
                <w:rFonts w:ascii="Times New Roman" w:eastAsia="SimSun" w:hAnsi="Times New Roman" w:cs="Times New Roman"/>
                <w:b/>
                <w:bCs/>
                <w:kern w:val="3"/>
                <w:sz w:val="18"/>
                <w:szCs w:val="18"/>
                <w:lang w:eastAsia="zh-CN"/>
              </w:rPr>
              <w:t>,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ListParagraph"/>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000FC4B9" w14:textId="37280470"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14:paraId="5F0D66A2" w14:textId="64C1F639"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30D164E5" w14:textId="60BCF90E"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14:paraId="6D1092CC" w14:textId="153F19E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8F5074A" w14:textId="0CC2566C"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14:paraId="720CA85A" w14:textId="3F559DF8" w:rsidR="00456016" w:rsidRPr="00015EDA" w:rsidRDefault="00456016">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 xml:space="preserve">Slovenia, Estonia, Latvia, Croatia, Slovakia, Czech Republic, Lithuania, Turkey, Hungary, Poland, Romania, Bulgaria, </w:t>
            </w:r>
            <w:r w:rsidR="005F6129">
              <w:rPr>
                <w:rFonts w:ascii="Times New Roman" w:hAnsi="Times New Roman" w:cs="Times New Roman"/>
                <w:b/>
                <w:sz w:val="18"/>
              </w:rPr>
              <w:t xml:space="preserve">the Republic of </w:t>
            </w:r>
            <w:r w:rsidR="00FD543A">
              <w:rPr>
                <w:rFonts w:ascii="Times New Roman" w:hAnsi="Times New Roman" w:cs="Times New Roman"/>
                <w:b/>
                <w:sz w:val="18"/>
              </w:rPr>
              <w:t xml:space="preserve">North </w:t>
            </w:r>
            <w:r w:rsidRPr="00015EDA">
              <w:rPr>
                <w:rFonts w:ascii="Times New Roman" w:hAnsi="Times New Roman" w:cs="Times New Roman"/>
                <w:b/>
                <w:sz w:val="18"/>
              </w:rPr>
              <w:t>Macedonia</w:t>
            </w:r>
            <w:r w:rsidR="00617348">
              <w:rPr>
                <w:rFonts w:ascii="Times New Roman" w:hAnsi="Times New Roman" w:cs="Times New Roman"/>
                <w:b/>
                <w:sz w:val="18"/>
              </w:rPr>
              <w:t>, Serbia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A01BC"/>
    <w:rsid w:val="0004457D"/>
    <w:rsid w:val="001B3EE5"/>
    <w:rsid w:val="001F19B1"/>
    <w:rsid w:val="0027158F"/>
    <w:rsid w:val="003E3FCC"/>
    <w:rsid w:val="003F37DC"/>
    <w:rsid w:val="00430D12"/>
    <w:rsid w:val="00456016"/>
    <w:rsid w:val="004B6BBA"/>
    <w:rsid w:val="004C6A6D"/>
    <w:rsid w:val="005718C6"/>
    <w:rsid w:val="005D17C3"/>
    <w:rsid w:val="005F6129"/>
    <w:rsid w:val="00617348"/>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AA029F"/>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D543A"/>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2.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4F2F2-EAE4-472E-BD28-814E7BD3C0D2}">
  <ds:schemaRefs>
    <ds:schemaRef ds:uri="cfd06d9f-862c-4359-9a69-c66ff689f26a"/>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Margrét Jóhannsdóttir - RR</cp:lastModifiedBy>
  <cp:revision>2</cp:revision>
  <cp:lastPrinted>2016-04-13T08:12:00Z</cp:lastPrinted>
  <dcterms:created xsi:type="dcterms:W3CDTF">2020-07-08T10:16:00Z</dcterms:created>
  <dcterms:modified xsi:type="dcterms:W3CDTF">2020-07-08T10:16:00Z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