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E1B4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4C0CE1B6" w14:textId="77777777" w:rsidR="00997EB1" w:rsidRPr="003A3EC2" w:rsidRDefault="008E179D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3A3EC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Key Action 1 – Learning Mobility</w:t>
      </w:r>
    </w:p>
    <w:p w14:paraId="4C0CE1B7" w14:textId="77777777" w:rsidR="00A91261" w:rsidRPr="003A3EC2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CE1B8" w14:textId="77777777" w:rsidR="008E179D" w:rsidRPr="008F18D8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8F18D8">
        <w:rPr>
          <w:rFonts w:ascii="Times New Roman" w:hAnsi="Times New Roman" w:cs="Times New Roman"/>
          <w:b/>
          <w:sz w:val="24"/>
          <w:szCs w:val="24"/>
          <w:highlight w:val="cyan"/>
        </w:rPr>
        <w:t>HIGHER EDUCATION (HE)</w:t>
      </w:r>
      <w:r w:rsidR="007802D8" w:rsidRPr="008F18D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between Programme Countries</w:t>
      </w:r>
    </w:p>
    <w:p w14:paraId="4C0CE1B9" w14:textId="77777777" w:rsidR="00A91261" w:rsidRPr="007802D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724BF139" w:rsidR="00523CFE" w:rsidRPr="002D2A5F" w:rsidRDefault="00C6134E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>1. Travel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3CFE" w:rsidRPr="002D2A5F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</w:p>
    <w:p w14:paraId="4C0CE1BD" w14:textId="66721A28" w:rsidR="009723B4" w:rsidRDefault="008E179D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E37ED">
        <w:rPr>
          <w:rFonts w:ascii="Times New Roman" w:hAnsi="Times New Roman" w:cs="Times New Roman"/>
          <w:u w:val="single"/>
        </w:rPr>
        <w:t xml:space="preserve">Staff mobility and </w:t>
      </w:r>
      <w:r w:rsidR="009723B4" w:rsidRPr="00DE37ED">
        <w:rPr>
          <w:rFonts w:ascii="Times New Roman" w:hAnsi="Times New Roman" w:cs="Times New Roman"/>
          <w:u w:val="single"/>
        </w:rPr>
        <w:t>HE students sent by HEIs from outermost Programme Countries and regions</w:t>
      </w:r>
      <w:r w:rsidR="00AB45F7">
        <w:rPr>
          <w:rFonts w:ascii="Times New Roman" w:hAnsi="Times New Roman" w:cs="Times New Roman"/>
          <w:u w:val="single"/>
        </w:rPr>
        <w:t xml:space="preserve"> </w:t>
      </w:r>
      <w:r w:rsidR="00AB45F7" w:rsidRPr="00AB45F7">
        <w:rPr>
          <w:rFonts w:ascii="Times New Roman" w:hAnsi="Times New Roman" w:cs="Times New Roman"/>
          <w:u w:val="single"/>
        </w:rPr>
        <w:t>and Overseas Countries and Territories</w:t>
      </w:r>
    </w:p>
    <w:p w14:paraId="4C0CE1BF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0501A2" w:rsidRPr="000501A2" w14:paraId="4C0CE1C2" w14:textId="77777777" w:rsidTr="003931B8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0501A2" w:rsidRPr="000501A2" w14:paraId="4C0CE1C5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00" w:type="pct"/>
            <w:vAlign w:val="center"/>
          </w:tcPr>
          <w:p w14:paraId="4C0CE1C4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0501A2" w:rsidRPr="000501A2" w14:paraId="4C0CE1C8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6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00" w:type="pct"/>
            <w:vAlign w:val="center"/>
          </w:tcPr>
          <w:p w14:paraId="4C0CE1C7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0501A2" w:rsidRPr="000501A2" w14:paraId="4C0CE1CB" w14:textId="77777777" w:rsidTr="003931B8">
        <w:trPr>
          <w:trHeight w:val="268"/>
        </w:trPr>
        <w:tc>
          <w:tcPr>
            <w:tcW w:w="2500" w:type="pct"/>
            <w:vAlign w:val="center"/>
          </w:tcPr>
          <w:p w14:paraId="4C0CE1C9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00" w:type="pct"/>
            <w:vAlign w:val="center"/>
          </w:tcPr>
          <w:p w14:paraId="4C0CE1CA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0501A2" w:rsidRPr="000501A2" w14:paraId="4C0CE1CE" w14:textId="77777777" w:rsidTr="003931B8">
        <w:trPr>
          <w:trHeight w:val="272"/>
        </w:trPr>
        <w:tc>
          <w:tcPr>
            <w:tcW w:w="2500" w:type="pct"/>
            <w:vAlign w:val="center"/>
          </w:tcPr>
          <w:p w14:paraId="4C0CE1CC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00" w:type="pct"/>
            <w:vAlign w:val="center"/>
          </w:tcPr>
          <w:p w14:paraId="4C0CE1CD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0501A2" w:rsidRPr="000501A2" w14:paraId="4C0CE1D1" w14:textId="77777777" w:rsidTr="003931B8">
        <w:trPr>
          <w:trHeight w:val="262"/>
        </w:trPr>
        <w:tc>
          <w:tcPr>
            <w:tcW w:w="2500" w:type="pct"/>
            <w:vAlign w:val="center"/>
          </w:tcPr>
          <w:p w14:paraId="4C0CE1CF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00" w:type="pct"/>
            <w:vAlign w:val="center"/>
          </w:tcPr>
          <w:p w14:paraId="4C0CE1D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0501A2" w:rsidRPr="000501A2" w14:paraId="4C0CE1D4" w14:textId="77777777" w:rsidTr="003931B8">
        <w:trPr>
          <w:trHeight w:val="280"/>
        </w:trPr>
        <w:tc>
          <w:tcPr>
            <w:tcW w:w="2500" w:type="pct"/>
            <w:vAlign w:val="center"/>
          </w:tcPr>
          <w:p w14:paraId="4C0CE1D2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00" w:type="pct"/>
            <w:vAlign w:val="center"/>
          </w:tcPr>
          <w:p w14:paraId="4C0CE1D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ED7250" w:rsidRPr="000501A2" w14:paraId="4C0CE1D7" w14:textId="77777777" w:rsidTr="003931B8">
        <w:trPr>
          <w:trHeight w:val="270"/>
        </w:trPr>
        <w:tc>
          <w:tcPr>
            <w:tcW w:w="2500" w:type="pct"/>
            <w:vAlign w:val="center"/>
          </w:tcPr>
          <w:p w14:paraId="4C0CE1D5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00" w:type="pct"/>
            <w:vAlign w:val="center"/>
          </w:tcPr>
          <w:p w14:paraId="4C0CE1D6" w14:textId="42625383" w:rsidR="00C6134E" w:rsidRPr="000501A2" w:rsidRDefault="00C6134E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523CF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4C0CE1D8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1D9" w14:textId="77777777" w:rsidR="00C6134E" w:rsidRPr="000501A2" w:rsidRDefault="00C6134E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0501A2">
        <w:rPr>
          <w:rFonts w:ascii="Times New Roman" w:hAnsi="Times New Roman"/>
          <w:sz w:val="24"/>
          <w:szCs w:val="24"/>
        </w:rPr>
        <w:t xml:space="preserve">Nota bene: </w:t>
      </w:r>
      <w:r w:rsidRPr="000501A2"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 w:rsidRPr="000501A2">
        <w:rPr>
          <w:rFonts w:ascii="Times New Roman" w:hAnsi="Times New Roman"/>
          <w:sz w:val="24"/>
          <w:szCs w:val="24"/>
          <w:u w:val="single"/>
        </w:rPr>
        <w:t>and</w:t>
      </w:r>
      <w:r w:rsidRPr="000501A2">
        <w:rPr>
          <w:rFonts w:ascii="Times New Roman" w:hAnsi="Times New Roman"/>
          <w:sz w:val="24"/>
          <w:szCs w:val="24"/>
        </w:rPr>
        <w:t xml:space="preserve"> from the venue.</w:t>
      </w:r>
    </w:p>
    <w:p w14:paraId="4C0CE1E1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77777777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 xml:space="preserve">2. Individual support  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4" w14:textId="2D46758B" w:rsidR="00BB4C4B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from Programme Countries </w:t>
      </w:r>
    </w:p>
    <w:p w14:paraId="4C0CE1E5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77"/>
        <w:gridCol w:w="5211"/>
      </w:tblGrid>
      <w:tr w:rsidR="00BB4C4B" w:rsidRPr="0006737B" w14:paraId="4C0CE1E8" w14:textId="77777777" w:rsidTr="002D2A5F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C0CE1E7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Programme Countries</w:t>
            </w:r>
          </w:p>
        </w:tc>
      </w:tr>
      <w:tr w:rsidR="00BB4C4B" w:rsidRPr="0006737B" w14:paraId="4C0CE1EC" w14:textId="77777777" w:rsidTr="002D2A5F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4C0CE1EA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C0CE1EB" w14:textId="77777777" w:rsidR="00BB4C4B" w:rsidRPr="00D878F1" w:rsidRDefault="00BB4C4B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Amount per day in EUR 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highlight w:val="cyan"/>
                <w:lang w:eastAsia="zh-CN"/>
              </w:rPr>
              <w:t>[NA to complete min &amp; max or fixed rate amounts as communicated by the National Agencies to the EC]</w:t>
            </w:r>
          </w:p>
        </w:tc>
      </w:tr>
      <w:tr w:rsidR="00523CFE" w:rsidRPr="0019773D" w14:paraId="787F2DD8" w14:textId="77777777" w:rsidTr="00523CF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7251D1" w14:textId="03180E5F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  <w:r w:rsidRPr="006C4C6A" w:rsidDel="006C4C6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4CEC00D1" w:rsidR="00523CFE" w:rsidRPr="00523CFE" w:rsidRDefault="00523CFE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23CFE" w:rsidRPr="0019773D" w14:paraId="5F20B6D5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0EA5EA" w14:textId="2B599611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26DEDBD9" w:rsidR="00523CFE" w:rsidRPr="00523CFE" w:rsidRDefault="00523CFE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23CFE" w:rsidRPr="0019773D" w14:paraId="501A5E69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512F1E8" w14:textId="56E10C60" w:rsidR="00523CFE" w:rsidRPr="002D2A5F" w:rsidRDefault="008328A1" w:rsidP="00D73ED3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613662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r w:rsidR="00D73ED3">
              <w:rPr>
                <w:rFonts w:ascii="Calibri" w:eastAsia="Times New Roman" w:hAnsi="Calibri"/>
                <w:snapToGrid w:val="0"/>
              </w:rPr>
              <w:t xml:space="preserve">North </w:t>
            </w:r>
            <w:r w:rsidRPr="00613662">
              <w:rPr>
                <w:rFonts w:ascii="Calibri" w:eastAsia="Times New Roman" w:hAnsi="Calibri"/>
                <w:snapToGrid w:val="0"/>
              </w:rPr>
              <w:t>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  <w:r w:rsidRPr="008328A1" w:rsidDel="008328A1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02E97D1F" w:rsidR="00523CFE" w:rsidRPr="00523CFE" w:rsidRDefault="00523CFE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0F9A8FB" w14:textId="77777777" w:rsidR="006C4C6A" w:rsidRDefault="006C4C6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A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Nota bene: the amount per day </w:t>
      </w:r>
      <w:proofErr w:type="gramStart"/>
      <w:r w:rsidRPr="00D878F1">
        <w:rPr>
          <w:rFonts w:ascii="Times New Roman" w:hAnsi="Times New Roman"/>
          <w:b/>
          <w:sz w:val="24"/>
          <w:szCs w:val="24"/>
        </w:rPr>
        <w:t>is calculated</w:t>
      </w:r>
      <w:proofErr w:type="gramEnd"/>
      <w:r w:rsidRPr="00D878F1">
        <w:rPr>
          <w:rFonts w:ascii="Times New Roman" w:hAnsi="Times New Roman"/>
          <w:b/>
          <w:sz w:val="24"/>
          <w:szCs w:val="24"/>
        </w:rPr>
        <w:t xml:space="preserve"> as follows:</w:t>
      </w:r>
    </w:p>
    <w:p w14:paraId="4C0CE1FB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lastRenderedPageBreak/>
        <w:t>up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</w:p>
    <w:p w14:paraId="4C0CE1FC" w14:textId="77777777" w:rsidR="006D1AF1" w:rsidRPr="00D878F1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4C0CE1FD" w14:textId="77777777" w:rsidR="006D1AF1" w:rsidRDefault="006D1AF1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gram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</w:t>
      </w:r>
      <w:proofErr w:type="gram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proofErr w:type="spellEnd"/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4C0CE1FE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F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0CE200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 xml:space="preserve">HE student </w:t>
      </w:r>
      <w:r w:rsidR="008E179D" w:rsidRPr="00DE37ED">
        <w:rPr>
          <w:rFonts w:ascii="Times New Roman" w:hAnsi="Times New Roman" w:cs="Times New Roman"/>
          <w:u w:val="single"/>
        </w:rPr>
        <w:t>mobility</w:t>
      </w:r>
      <w:r w:rsidRPr="00DE37ED">
        <w:rPr>
          <w:rFonts w:ascii="Times New Roman" w:hAnsi="Times New Roman" w:cs="Times New Roman"/>
          <w:u w:val="single"/>
        </w:rPr>
        <w:t>: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5DB180EF" w:rsidR="006D1A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except for students from outermost Programme Countries and regions</w:t>
      </w:r>
      <w:r w:rsidR="00D72D11">
        <w:rPr>
          <w:rFonts w:ascii="Times New Roman" w:hAnsi="Times New Roman"/>
          <w:b/>
          <w:sz w:val="24"/>
          <w:szCs w:val="24"/>
        </w:rPr>
        <w:t xml:space="preserve"> and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06737B" w14:paraId="4C0CE207" w14:textId="77777777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46E3A800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Amount per month </w:t>
            </w: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br/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highlight w:val="cyan"/>
                <w:lang w:eastAsia="zh-CN"/>
              </w:rPr>
              <w:t>[NA to complete exact amount or min &amp; max amounts as communicated by National Agencies to the EC</w:t>
            </w:r>
          </w:p>
        </w:tc>
      </w:tr>
      <w:tr w:rsidR="005F632B" w:rsidRPr="00C73419" w14:paraId="18233FAF" w14:textId="03D7DCE5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2D2A5F" w:rsidRDefault="005F632B" w:rsidP="001A5E3D">
            <w:pPr>
              <w:jc w:val="center"/>
              <w:rPr>
                <w:rFonts w:ascii="Calibri" w:eastAsia="Times New Roman" w:hAnsi="Calibri"/>
                <w:b/>
                <w:lang w:eastAsia="ja-JP"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1</w:t>
            </w:r>
          </w:p>
          <w:p w14:paraId="272BA82A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DDA" w14:textId="5271B2FA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0B41E37C" w14:textId="77777777" w:rsidR="005F632B" w:rsidRPr="00ED4A4C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</w:tc>
      </w:tr>
      <w:tr w:rsidR="005F632B" w:rsidRPr="00C73419" w14:paraId="3282152A" w14:textId="2EF66354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2</w:t>
            </w:r>
          </w:p>
          <w:p w14:paraId="3E11008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E3D" w14:textId="6EEBFACF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64E" w14:textId="77777777" w:rsidR="005F632B" w:rsidRPr="00ED4A4C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</w:tc>
      </w:tr>
      <w:tr w:rsidR="005F632B" w:rsidRPr="00C73419" w14:paraId="18A91FA4" w14:textId="4743F58A" w:rsidTr="002D2A5F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3</w:t>
            </w:r>
          </w:p>
          <w:p w14:paraId="2420EA86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4547F1D6" w:rsidR="005F632B" w:rsidRPr="002D2A5F" w:rsidRDefault="005F632B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="00912359"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bookmarkStart w:id="0" w:name="_GoBack"/>
            <w:bookmarkEnd w:id="0"/>
            <w:r w:rsidR="00D73ED3">
              <w:rPr>
                <w:rFonts w:ascii="Calibri" w:eastAsia="Times New Roman" w:hAnsi="Calibri"/>
                <w:snapToGrid w:val="0"/>
              </w:rPr>
              <w:t>North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 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5D4" w14:textId="77777777" w:rsidR="005F632B" w:rsidRPr="00ED4A4C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</w:tc>
      </w:tr>
    </w:tbl>
    <w:p w14:paraId="118E0737" w14:textId="77777777" w:rsidR="005F632B" w:rsidRDefault="005F632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8" w14:textId="77777777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Those rates fixed by the National Agency or by the higher education institutions themselves (within the range) </w:t>
      </w:r>
      <w:proofErr w:type="gramStart"/>
      <w:r w:rsidRPr="00D878F1">
        <w:rPr>
          <w:rFonts w:ascii="Times New Roman" w:hAnsi="Times New Roman"/>
          <w:sz w:val="24"/>
          <w:szCs w:val="24"/>
        </w:rPr>
        <w:t xml:space="preserve">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proofErr w:type="gramEnd"/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4C0CE219" w14:textId="77777777" w:rsidR="004125E7" w:rsidRPr="00D878F1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A" w14:textId="2ABC1122" w:rsidR="006D1AF1" w:rsidRDefault="006D1AF1" w:rsidP="00AB45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for students from outermost Programme Countries and regions</w:t>
      </w:r>
      <w:r w:rsidR="00AB45F7">
        <w:rPr>
          <w:rFonts w:ascii="Times New Roman" w:hAnsi="Times New Roman"/>
          <w:b/>
          <w:sz w:val="24"/>
          <w:szCs w:val="24"/>
        </w:rPr>
        <w:t xml:space="preserve"> </w:t>
      </w:r>
      <w:r w:rsidR="00AB45F7" w:rsidRPr="00AB45F7">
        <w:rPr>
          <w:rFonts w:ascii="Times New Roman" w:hAnsi="Times New Roman"/>
          <w:b/>
          <w:sz w:val="24"/>
          <w:szCs w:val="24"/>
        </w:rPr>
        <w:t>and Overseas Countries and Territories</w:t>
      </w:r>
    </w:p>
    <w:p w14:paraId="4C0CE21B" w14:textId="77777777" w:rsidR="000D504E" w:rsidRPr="00D878F1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617"/>
        <w:gridCol w:w="3043"/>
      </w:tblGrid>
      <w:tr w:rsidR="006D1AF1" w:rsidRPr="0006737B" w14:paraId="4C0CE21F" w14:textId="77777777" w:rsidTr="00997EB1">
        <w:tc>
          <w:tcPr>
            <w:tcW w:w="1953" w:type="pct"/>
            <w:shd w:val="clear" w:color="auto" w:fill="auto"/>
            <w:vAlign w:val="center"/>
          </w:tcPr>
          <w:p w14:paraId="4C0CE21C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1D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1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4C0CE223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4C0CE220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Outermost regions, Cyprus, Iceland and Malta,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21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2" w14:textId="6E01CDCF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7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4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5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6" w14:textId="56416CB8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B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9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A" w14:textId="26F4A5B0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4C0CE22C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2D" w14:textId="77777777" w:rsidR="006D1AF1" w:rsidRPr="00D878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lastRenderedPageBreak/>
        <w:t xml:space="preserve">Student mobility for traineeships:  </w:t>
      </w:r>
      <w:r w:rsidRPr="00D878F1">
        <w:rPr>
          <w:rFonts w:ascii="Times New Roman" w:hAnsi="Times New Roman"/>
          <w:sz w:val="24"/>
          <w:szCs w:val="24"/>
        </w:rPr>
        <w:t>additional top-up of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kern w:val="3"/>
          <w:sz w:val="24"/>
          <w:szCs w:val="24"/>
          <w:highlight w:val="cyan"/>
          <w:lang w:eastAsia="zh-CN"/>
        </w:rPr>
        <w:t>[NA to complete exact amount or range as communicated by National Authorities to the EC]</w:t>
      </w:r>
      <w:r w:rsidRPr="00D878F1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 xml:space="preserve">  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[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highlight w:val="yellow"/>
          <w:lang w:eastAsia="zh-CN"/>
        </w:rPr>
        <w:t>100-200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] EUR/month</w:t>
      </w:r>
    </w:p>
    <w:p w14:paraId="4C0CE22E" w14:textId="77777777" w:rsidR="006D1AF1" w:rsidRPr="000F5B7A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[</w:t>
      </w:r>
      <w:r w:rsidRPr="00D878F1">
        <w:rPr>
          <w:rFonts w:ascii="Times New Roman" w:hAnsi="Times New Roman"/>
          <w:sz w:val="24"/>
          <w:szCs w:val="24"/>
          <w:highlight w:val="cyan"/>
        </w:rPr>
        <w:t>NA to select if applicable</w:t>
      </w:r>
      <w:r w:rsidRPr="00D878F1">
        <w:rPr>
          <w:rFonts w:ascii="Times New Roman" w:hAnsi="Times New Roman"/>
          <w:b/>
          <w:sz w:val="24"/>
          <w:szCs w:val="24"/>
        </w:rPr>
        <w:t xml:space="preserve">] Students from disadvantaged backgrounds (other than those with special needs) for mobility for </w:t>
      </w:r>
      <w:proofErr w:type="gramStart"/>
      <w:r w:rsidRPr="00D878F1">
        <w:rPr>
          <w:rFonts w:ascii="Times New Roman" w:hAnsi="Times New Roman"/>
          <w:b/>
          <w:sz w:val="24"/>
          <w:szCs w:val="24"/>
        </w:rPr>
        <w:t>studies :</w:t>
      </w:r>
      <w:proofErr w:type="gramEnd"/>
      <w:r w:rsidRPr="00D878F1">
        <w:rPr>
          <w:rFonts w:ascii="Times New Roman" w:hAnsi="Times New Roman"/>
          <w:b/>
          <w:sz w:val="24"/>
          <w:szCs w:val="24"/>
        </w:rPr>
        <w:t xml:space="preserve">  </w:t>
      </w:r>
      <w:r w:rsidRPr="00D878F1">
        <w:rPr>
          <w:rFonts w:ascii="Times New Roman" w:hAnsi="Times New Roman"/>
          <w:sz w:val="24"/>
          <w:szCs w:val="24"/>
        </w:rPr>
        <w:t xml:space="preserve">additional top-up </w:t>
      </w:r>
      <w:r w:rsidRPr="00D878F1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 w:rsidRPr="00D878F1">
        <w:rPr>
          <w:rFonts w:ascii="Times New Roman" w:eastAsia="SimSun" w:hAnsi="Times New Roman"/>
          <w:kern w:val="3"/>
          <w:sz w:val="24"/>
          <w:szCs w:val="24"/>
          <w:highlight w:val="cyan"/>
          <w:lang w:eastAsia="zh-CN"/>
        </w:rPr>
        <w:t>[NA to complete exact amount as communicated by National Authorities to the EC, if applicable]</w:t>
      </w:r>
      <w:r w:rsidRPr="00D878F1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[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highlight w:val="yellow"/>
          <w:lang w:eastAsia="zh-CN"/>
        </w:rPr>
        <w:t>100-200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] EUR/month</w:t>
      </w:r>
      <w:r w:rsidR="000F5B7A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. </w:t>
      </w:r>
      <w:r w:rsidR="000F5B7A" w:rsidRPr="000F5B7A">
        <w:rPr>
          <w:rFonts w:ascii="Times New Roman" w:hAnsi="Times New Roman"/>
          <w:sz w:val="24"/>
          <w:szCs w:val="24"/>
        </w:rPr>
        <w:t xml:space="preserve">Students from disadvantaged backgrounds who take part in traineeships are entitled to receive the top-up </w:t>
      </w:r>
      <w:proofErr w:type="gramStart"/>
      <w:r w:rsidR="000F5B7A" w:rsidRPr="000F5B7A">
        <w:rPr>
          <w:rFonts w:ascii="Times New Roman" w:hAnsi="Times New Roman"/>
          <w:sz w:val="24"/>
          <w:szCs w:val="24"/>
        </w:rPr>
        <w:t>for students from disadvantaged backgrounds instead of the top-ups for traineeships,</w:t>
      </w:r>
      <w:proofErr w:type="gramEnd"/>
      <w:r w:rsidR="000F5B7A" w:rsidRPr="000F5B7A">
        <w:rPr>
          <w:rFonts w:ascii="Times New Roman" w:hAnsi="Times New Roman"/>
          <w:sz w:val="24"/>
          <w:szCs w:val="24"/>
        </w:rPr>
        <w:t xml:space="preserve"> in case the top-up for traineeships is lower.</w:t>
      </w:r>
    </w:p>
    <w:p w14:paraId="4C0CE22F" w14:textId="77777777" w:rsidR="0072048B" w:rsidRPr="00D878F1" w:rsidRDefault="0072048B" w:rsidP="0072048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C0CE230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31" w14:textId="77777777" w:rsidR="008E179D" w:rsidRPr="00C6134E" w:rsidRDefault="008E179D" w:rsidP="0072048B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C6134E">
        <w:rPr>
          <w:rFonts w:ascii="Times New Roman" w:hAnsi="Times New Roman" w:cs="Times New Roman"/>
          <w:b/>
          <w:highlight w:val="yellow"/>
        </w:rPr>
        <w:t>3. Organisational support</w:t>
      </w:r>
    </w:p>
    <w:p w14:paraId="4C0CE232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B0078" w14:textId="77777777" w:rsidR="003F3F14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Up to the 100th participant: 350 EUR per participant </w:t>
      </w:r>
    </w:p>
    <w:p w14:paraId="4C0CE233" w14:textId="256DA51B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D878F1">
        <w:rPr>
          <w:rFonts w:ascii="Times New Roman" w:hAnsi="Times New Roman"/>
          <w:sz w:val="24"/>
          <w:szCs w:val="24"/>
        </w:rPr>
        <w:t>beyond</w:t>
      </w:r>
      <w:proofErr w:type="gramEnd"/>
      <w:r w:rsidRPr="00D878F1">
        <w:rPr>
          <w:rFonts w:ascii="Times New Roman" w:hAnsi="Times New Roman"/>
          <w:sz w:val="24"/>
          <w:szCs w:val="24"/>
        </w:rPr>
        <w:t xml:space="preserve"> the 100th participant: 200 EUR per additional participant.</w:t>
      </w:r>
    </w:p>
    <w:p w14:paraId="4C0CE234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35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02D66"/>
    <w:rsid w:val="000501A2"/>
    <w:rsid w:val="000D504E"/>
    <w:rsid w:val="000F5B7A"/>
    <w:rsid w:val="002D2A5F"/>
    <w:rsid w:val="003A3EC2"/>
    <w:rsid w:val="003E3FCC"/>
    <w:rsid w:val="003F3F14"/>
    <w:rsid w:val="004125E7"/>
    <w:rsid w:val="00430D12"/>
    <w:rsid w:val="0046296A"/>
    <w:rsid w:val="004C6A6D"/>
    <w:rsid w:val="00523CFE"/>
    <w:rsid w:val="00525F53"/>
    <w:rsid w:val="005718C6"/>
    <w:rsid w:val="005862A9"/>
    <w:rsid w:val="00587C0B"/>
    <w:rsid w:val="005C4DEF"/>
    <w:rsid w:val="005F3970"/>
    <w:rsid w:val="005F632B"/>
    <w:rsid w:val="006C4C6A"/>
    <w:rsid w:val="006D1AF1"/>
    <w:rsid w:val="006D74F7"/>
    <w:rsid w:val="0072048B"/>
    <w:rsid w:val="007443FC"/>
    <w:rsid w:val="007802D8"/>
    <w:rsid w:val="008328A1"/>
    <w:rsid w:val="00850120"/>
    <w:rsid w:val="00866095"/>
    <w:rsid w:val="008916BE"/>
    <w:rsid w:val="008E179D"/>
    <w:rsid w:val="008F18D8"/>
    <w:rsid w:val="00912359"/>
    <w:rsid w:val="009444DF"/>
    <w:rsid w:val="00970744"/>
    <w:rsid w:val="009723B4"/>
    <w:rsid w:val="00997EB1"/>
    <w:rsid w:val="009A01BC"/>
    <w:rsid w:val="009D6416"/>
    <w:rsid w:val="009F1623"/>
    <w:rsid w:val="00A40237"/>
    <w:rsid w:val="00A91261"/>
    <w:rsid w:val="00AB45F7"/>
    <w:rsid w:val="00AC77B8"/>
    <w:rsid w:val="00B716A6"/>
    <w:rsid w:val="00BB4C4B"/>
    <w:rsid w:val="00BC496D"/>
    <w:rsid w:val="00C6134E"/>
    <w:rsid w:val="00D16EFE"/>
    <w:rsid w:val="00D60AE3"/>
    <w:rsid w:val="00D72D11"/>
    <w:rsid w:val="00D73ED3"/>
    <w:rsid w:val="00DE37ED"/>
    <w:rsid w:val="00DE439A"/>
    <w:rsid w:val="00ED7250"/>
    <w:rsid w:val="00F16BDB"/>
    <w:rsid w:val="00F37C3F"/>
    <w:rsid w:val="00F703C1"/>
    <w:rsid w:val="00F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E1B4"/>
  <w15:docId w15:val="{3CE976FC-F9AA-4030-A545-0F688D4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52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Year xmlns="cfd06d9f-862c-4359-9a69-c66ff689f26a">2019</Year>
    <Leader_x0020__x0028_unit_x0029_ xmlns="cfd06d9f-862c-4359-9a69-c66ff689f26a">B1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B8B1-3F7D-40FF-95D8-F9911F190C1B}">
  <ds:schemaRefs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EF0016-07BE-4DCE-BF5C-A19AB0D2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3251</Characters>
  <Application>Microsoft Office Word</Application>
  <DocSecurity>0</DocSecurity>
  <Lines>135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2016-04-20T09:41:00Z</cp:lastPrinted>
  <dcterms:created xsi:type="dcterms:W3CDTF">2019-02-19T09:36:00Z</dcterms:created>
  <dcterms:modified xsi:type="dcterms:W3CDTF">2020-02-11T09:50:00Z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